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F1" w:rsidRPr="00C652BB" w:rsidRDefault="00451DF4" w:rsidP="00364F5E">
      <w:pPr>
        <w:spacing w:after="0" w:line="240" w:lineRule="auto"/>
        <w:jc w:val="center"/>
        <w:rPr>
          <w:b/>
          <w:color w:val="4F6228" w:themeColor="accent3" w:themeShade="80"/>
          <w:sz w:val="24"/>
          <w:szCs w:val="24"/>
        </w:rPr>
      </w:pPr>
      <w:r w:rsidRPr="00C652BB">
        <w:rPr>
          <w:b/>
          <w:noProof/>
          <w:color w:val="4F6228" w:themeColor="accent3" w:themeShade="8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-328930</wp:posOffset>
            </wp:positionV>
            <wp:extent cx="676910" cy="612775"/>
            <wp:effectExtent l="19050" t="0" r="8890" b="0"/>
            <wp:wrapTight wrapText="bothSides">
              <wp:wrapPolygon edited="0">
                <wp:start x="-608" y="0"/>
                <wp:lineTo x="-608" y="20817"/>
                <wp:lineTo x="21884" y="20817"/>
                <wp:lineTo x="21884" y="0"/>
                <wp:lineTo x="-608" y="0"/>
              </wp:wrapPolygon>
            </wp:wrapTight>
            <wp:docPr id="2" name="Picture 2" descr="logo for web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or web si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BF1" w:rsidRPr="00C652BB">
        <w:rPr>
          <w:b/>
          <w:color w:val="4F6228" w:themeColor="accent3" w:themeShade="80"/>
          <w:sz w:val="24"/>
          <w:szCs w:val="24"/>
        </w:rPr>
        <w:t>Institutional-Set Standards for Student Achievement</w:t>
      </w:r>
      <w:r w:rsidR="008067E1" w:rsidRPr="00C652BB">
        <w:rPr>
          <w:b/>
          <w:color w:val="4F6228" w:themeColor="accent3" w:themeShade="80"/>
          <w:sz w:val="24"/>
          <w:szCs w:val="24"/>
        </w:rPr>
        <w:t xml:space="preserve"> (ISSA)</w:t>
      </w:r>
      <w:r w:rsidRPr="00C652BB">
        <w:rPr>
          <w:b/>
          <w:color w:val="4F6228" w:themeColor="accent3" w:themeShade="80"/>
          <w:sz w:val="24"/>
          <w:szCs w:val="24"/>
        </w:rPr>
        <w:t xml:space="preserve"> Report</w:t>
      </w:r>
    </w:p>
    <w:p w:rsidR="00C5694B" w:rsidRDefault="00C5694B" w:rsidP="008067E1">
      <w:pPr>
        <w:spacing w:after="0" w:line="240" w:lineRule="auto"/>
      </w:pPr>
    </w:p>
    <w:p w:rsidR="00E7789F" w:rsidRDefault="008067E1" w:rsidP="008067E1">
      <w:pPr>
        <w:spacing w:after="0" w:line="240" w:lineRule="auto"/>
      </w:pPr>
      <w:r w:rsidRPr="00C5694B">
        <w:t xml:space="preserve">The College ISSA Committee worked to develop the institutional-set standards from fall 2013 to fall 2014; the </w:t>
      </w:r>
    </w:p>
    <w:p w:rsidR="00E7789F" w:rsidRDefault="008067E1" w:rsidP="008067E1">
      <w:pPr>
        <w:spacing w:after="0" w:line="240" w:lineRule="auto"/>
      </w:pPr>
      <w:r w:rsidRPr="00C5694B">
        <w:t xml:space="preserve">ISSA were approved by the College President on March 31, 2015; and were implemented in fall 2015.  The institutional-set standards </w:t>
      </w:r>
      <w:r w:rsidR="00451DF4">
        <w:t>expected outcomes</w:t>
      </w:r>
      <w:r w:rsidRPr="00C5694B">
        <w:t xml:space="preserve"> were established based on student achievement data of five </w:t>
      </w:r>
    </w:p>
    <w:p w:rsidR="00FC747B" w:rsidRPr="00C5694B" w:rsidRDefault="008067E1" w:rsidP="008067E1">
      <w:pPr>
        <w:spacing w:after="0" w:line="240" w:lineRule="auto"/>
      </w:pPr>
      <w:r w:rsidRPr="00C5694B">
        <w:t>years (2008 – 2013).</w:t>
      </w:r>
      <w:r w:rsidR="00C5694B">
        <w:t xml:space="preserve">  </w:t>
      </w:r>
      <w:r w:rsidR="00E7789F">
        <w:t>The following is assessment results of fall 2015.</w:t>
      </w:r>
    </w:p>
    <w:p w:rsidR="008067E1" w:rsidRPr="009E6BF1" w:rsidRDefault="008067E1" w:rsidP="008067E1">
      <w:pPr>
        <w:spacing w:after="0" w:line="240" w:lineRule="auto"/>
        <w:rPr>
          <w:sz w:val="24"/>
          <w:szCs w:val="24"/>
        </w:rPr>
      </w:pPr>
    </w:p>
    <w:tbl>
      <w:tblPr>
        <w:tblStyle w:val="LightGrid-Accent3"/>
        <w:tblW w:w="10278" w:type="dxa"/>
        <w:tblLook w:val="04A0"/>
      </w:tblPr>
      <w:tblGrid>
        <w:gridCol w:w="5598"/>
        <w:gridCol w:w="2880"/>
        <w:gridCol w:w="1800"/>
      </w:tblGrid>
      <w:tr w:rsidR="00FC747B" w:rsidRPr="00FC747B" w:rsidTr="00C652BB">
        <w:trPr>
          <w:cnfStyle w:val="100000000000"/>
          <w:trHeight w:val="842"/>
        </w:trPr>
        <w:tc>
          <w:tcPr>
            <w:cnfStyle w:val="001000000000"/>
            <w:tcW w:w="5598" w:type="dxa"/>
            <w:shd w:val="clear" w:color="auto" w:fill="006600"/>
            <w:hideMark/>
          </w:tcPr>
          <w:p w:rsidR="00FC747B" w:rsidRPr="00FC747B" w:rsidRDefault="00FC747B" w:rsidP="00FC747B">
            <w:pPr>
              <w:jc w:val="center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</w:pPr>
            <w:r w:rsidRPr="00FC747B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  <w:t>Institutional Set-standards for Student Achievement</w:t>
            </w:r>
          </w:p>
        </w:tc>
        <w:tc>
          <w:tcPr>
            <w:tcW w:w="2880" w:type="dxa"/>
            <w:shd w:val="clear" w:color="auto" w:fill="006600"/>
            <w:noWrap/>
            <w:hideMark/>
          </w:tcPr>
          <w:p w:rsidR="00FC747B" w:rsidRPr="00FC747B" w:rsidRDefault="00FC747B" w:rsidP="00FC747B">
            <w:pPr>
              <w:jc w:val="center"/>
              <w:cnfStyle w:val="100000000000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</w:pPr>
            <w:r w:rsidRPr="00FC747B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  <w:t>Report Year/Semester</w:t>
            </w:r>
          </w:p>
        </w:tc>
        <w:tc>
          <w:tcPr>
            <w:tcW w:w="1800" w:type="dxa"/>
            <w:shd w:val="clear" w:color="auto" w:fill="006600"/>
            <w:noWrap/>
            <w:hideMark/>
          </w:tcPr>
          <w:p w:rsidR="00FC747B" w:rsidRPr="00FC747B" w:rsidRDefault="00FC747B" w:rsidP="00FC747B">
            <w:pPr>
              <w:jc w:val="center"/>
              <w:cnfStyle w:val="100000000000"/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</w:pPr>
            <w:r w:rsidRPr="00FC747B">
              <w:rPr>
                <w:rFonts w:ascii="Calibri" w:eastAsia="Times New Roman" w:hAnsi="Calibri" w:cs="Times New Roman"/>
                <w:color w:val="FFFFFF" w:themeColor="background1"/>
                <w:sz w:val="24"/>
                <w:szCs w:val="24"/>
              </w:rPr>
              <w:t>Performance</w:t>
            </w:r>
          </w:p>
        </w:tc>
      </w:tr>
      <w:tr w:rsidR="00FC747B" w:rsidRPr="00FC747B" w:rsidTr="00C652BB">
        <w:trPr>
          <w:cnfStyle w:val="000000100000"/>
          <w:trHeight w:val="2159"/>
        </w:trPr>
        <w:tc>
          <w:tcPr>
            <w:cnfStyle w:val="001000000000"/>
            <w:tcW w:w="5598" w:type="dxa"/>
            <w:hideMark/>
          </w:tcPr>
          <w:p w:rsidR="00FC747B" w:rsidRPr="000A16D3" w:rsidRDefault="00FC747B" w:rsidP="00FC747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C74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ISSA 4. At least 60% of registered students will complete enrolled courses (course completion) in any given semester.</w:t>
            </w:r>
          </w:p>
          <w:p w:rsidR="00FC747B" w:rsidRDefault="00FC747B" w:rsidP="00FC747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FC747B" w:rsidRPr="00FC747B" w:rsidRDefault="00FC747B" w:rsidP="00FC747B">
            <w:pPr>
              <w:rPr>
                <w:rFonts w:ascii="Calibri" w:eastAsia="Times New Roman" w:hAnsi="Calibri" w:cs="Times New Roman"/>
                <w:b w:val="0"/>
                <w:i/>
                <w:color w:val="000000"/>
                <w:sz w:val="20"/>
                <w:szCs w:val="20"/>
              </w:rPr>
            </w:pPr>
            <w:r w:rsidRPr="000A16D3">
              <w:rPr>
                <w:rFonts w:ascii="Calibri" w:eastAsia="Times New Roman" w:hAnsi="Calibri" w:cs="Times New Roman"/>
                <w:b w:val="0"/>
                <w:i/>
                <w:color w:val="000000"/>
                <w:sz w:val="20"/>
                <w:szCs w:val="20"/>
              </w:rPr>
              <w:t>PCC’s Course Completion Rate is the p</w:t>
            </w:r>
            <w:r w:rsidRPr="000A16D3">
              <w:rPr>
                <w:b w:val="0"/>
                <w:i/>
                <w:sz w:val="20"/>
                <w:szCs w:val="20"/>
              </w:rPr>
              <w:t xml:space="preserve">ercentage of students who receive a passing/satisfactory </w:t>
            </w:r>
            <w:r w:rsidR="008067E1" w:rsidRPr="000A16D3">
              <w:rPr>
                <w:b w:val="0"/>
                <w:i/>
                <w:sz w:val="20"/>
                <w:szCs w:val="20"/>
              </w:rPr>
              <w:t>grade (</w:t>
            </w:r>
            <w:r w:rsidRPr="000A16D3">
              <w:rPr>
                <w:b w:val="0"/>
                <w:i/>
                <w:sz w:val="20"/>
                <w:szCs w:val="20"/>
              </w:rPr>
              <w:t>A</w:t>
            </w:r>
            <w:r w:rsidR="00C5694B" w:rsidRPr="000A16D3">
              <w:rPr>
                <w:b w:val="0"/>
                <w:i/>
                <w:sz w:val="20"/>
                <w:szCs w:val="20"/>
              </w:rPr>
              <w:t>, B, C, D, and CR</w:t>
            </w:r>
            <w:r w:rsidRPr="000A16D3">
              <w:rPr>
                <w:b w:val="0"/>
                <w:i/>
                <w:sz w:val="20"/>
                <w:szCs w:val="20"/>
              </w:rPr>
              <w:t>)</w:t>
            </w:r>
            <w:r w:rsidRPr="000A16D3">
              <w:rPr>
                <w:rFonts w:ascii="Calibri" w:eastAsia="Times New Roman" w:hAnsi="Calibri" w:cs="Times New Roman"/>
                <w:b w:val="0"/>
                <w:i/>
                <w:color w:val="000000"/>
                <w:sz w:val="20"/>
                <w:szCs w:val="20"/>
              </w:rPr>
              <w:t xml:space="preserve"> </w:t>
            </w:r>
            <w:r w:rsidR="008E532F" w:rsidRPr="000A16D3">
              <w:rPr>
                <w:rFonts w:ascii="Calibri" w:eastAsia="Times New Roman" w:hAnsi="Calibri" w:cs="Times New Roman"/>
                <w:b w:val="0"/>
                <w:i/>
                <w:color w:val="000000"/>
                <w:sz w:val="20"/>
                <w:szCs w:val="20"/>
              </w:rPr>
              <w:t>or successfully completed the course.</w:t>
            </w:r>
          </w:p>
        </w:tc>
        <w:tc>
          <w:tcPr>
            <w:tcW w:w="2880" w:type="dxa"/>
            <w:noWrap/>
            <w:hideMark/>
          </w:tcPr>
          <w:p w:rsidR="00FC747B" w:rsidRPr="00FC747B" w:rsidRDefault="00FC747B" w:rsidP="00FC747B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FC747B">
              <w:rPr>
                <w:rFonts w:ascii="Calibri" w:eastAsia="Times New Roman" w:hAnsi="Calibri" w:cs="Times New Roman"/>
                <w:color w:val="000000"/>
              </w:rPr>
              <w:t>Fall 2015</w:t>
            </w:r>
          </w:p>
        </w:tc>
        <w:tc>
          <w:tcPr>
            <w:tcW w:w="1800" w:type="dxa"/>
            <w:noWrap/>
            <w:hideMark/>
          </w:tcPr>
          <w:p w:rsidR="00FC747B" w:rsidRDefault="00FC747B" w:rsidP="00FC747B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FC747B">
              <w:rPr>
                <w:rFonts w:ascii="Calibri" w:eastAsia="Times New Roman" w:hAnsi="Calibri" w:cs="Times New Roman"/>
                <w:color w:val="000000"/>
              </w:rPr>
              <w:t>73%</w:t>
            </w:r>
          </w:p>
          <w:p w:rsidR="00FC747B" w:rsidRPr="00FC747B" w:rsidRDefault="00FC747B" w:rsidP="00FC747B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747B" w:rsidRPr="00FC747B" w:rsidTr="00C652BB">
        <w:trPr>
          <w:cnfStyle w:val="000000010000"/>
          <w:trHeight w:val="980"/>
        </w:trPr>
        <w:tc>
          <w:tcPr>
            <w:cnfStyle w:val="001000000000"/>
            <w:tcW w:w="5598" w:type="dxa"/>
            <w:vMerge w:val="restart"/>
            <w:hideMark/>
          </w:tcPr>
          <w:p w:rsidR="00FC747B" w:rsidRPr="000A16D3" w:rsidRDefault="00FC747B" w:rsidP="00FC747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C74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ISSA 5. PCC retains at least 60% of registered students from term to term; fall to fall; and spring to spring until completion of degree/certificate programs.</w:t>
            </w:r>
          </w:p>
          <w:p w:rsidR="00FC747B" w:rsidRDefault="00FC747B" w:rsidP="00FC747B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:rsidR="00FC747B" w:rsidRPr="00FC747B" w:rsidRDefault="00FC747B" w:rsidP="00254271">
            <w:pPr>
              <w:rPr>
                <w:rFonts w:ascii="Calibri" w:eastAsia="Times New Roman" w:hAnsi="Calibri" w:cs="Times New Roman"/>
                <w:b w:val="0"/>
                <w:i/>
                <w:color w:val="000000"/>
                <w:sz w:val="20"/>
                <w:szCs w:val="20"/>
              </w:rPr>
            </w:pPr>
            <w:r w:rsidRPr="000A16D3">
              <w:rPr>
                <w:rFonts w:ascii="Calibri" w:eastAsia="Times New Roman" w:hAnsi="Calibri" w:cs="Times New Roman"/>
                <w:b w:val="0"/>
                <w:i/>
                <w:color w:val="000000"/>
                <w:sz w:val="20"/>
                <w:szCs w:val="20"/>
              </w:rPr>
              <w:t>Retention Rate is the</w:t>
            </w:r>
            <w:r w:rsidR="00254271" w:rsidRPr="000A16D3">
              <w:rPr>
                <w:rFonts w:ascii="Calibri" w:eastAsia="Times New Roman" w:hAnsi="Calibri" w:cs="Times New Roman"/>
                <w:b w:val="0"/>
                <w:i/>
                <w:color w:val="000000"/>
                <w:sz w:val="20"/>
                <w:szCs w:val="20"/>
              </w:rPr>
              <w:t xml:space="preserve"> percentage of</w:t>
            </w:r>
            <w:r w:rsidRPr="000A16D3">
              <w:rPr>
                <w:rFonts w:ascii="Calibri" w:eastAsia="Times New Roman" w:hAnsi="Calibri" w:cs="Times New Roman"/>
                <w:b w:val="0"/>
                <w:i/>
                <w:color w:val="000000"/>
                <w:sz w:val="20"/>
                <w:szCs w:val="20"/>
              </w:rPr>
              <w:t xml:space="preserve"> </w:t>
            </w:r>
            <w:r w:rsidR="00254271" w:rsidRPr="000A16D3">
              <w:rPr>
                <w:rFonts w:ascii="Calibri" w:eastAsia="Times New Roman" w:hAnsi="Calibri" w:cs="Times New Roman"/>
                <w:b w:val="0"/>
                <w:i/>
                <w:color w:val="000000"/>
                <w:sz w:val="20"/>
                <w:szCs w:val="20"/>
              </w:rPr>
              <w:t>f</w:t>
            </w:r>
            <w:r w:rsidRPr="000A16D3">
              <w:rPr>
                <w:rFonts w:ascii="Calibri" w:eastAsia="Times New Roman" w:hAnsi="Calibri" w:cs="Times New Roman"/>
                <w:b w:val="0"/>
                <w:i/>
                <w:color w:val="000000"/>
                <w:sz w:val="20"/>
                <w:szCs w:val="20"/>
              </w:rPr>
              <w:t xml:space="preserve">ull-time, first-time degree seeking students </w:t>
            </w:r>
            <w:r w:rsidR="00254271" w:rsidRPr="000A16D3">
              <w:rPr>
                <w:rFonts w:ascii="Calibri" w:eastAsia="Times New Roman" w:hAnsi="Calibri" w:cs="Times New Roman"/>
                <w:b w:val="0"/>
                <w:i/>
                <w:color w:val="000000"/>
                <w:sz w:val="20"/>
                <w:szCs w:val="20"/>
              </w:rPr>
              <w:t xml:space="preserve">who enrolled in a given semester </w:t>
            </w:r>
            <w:r w:rsidR="00254271" w:rsidRPr="000A16D3">
              <w:rPr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>that</w:t>
            </w:r>
            <w:r w:rsidR="00254271" w:rsidRPr="000A16D3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 xml:space="preserve"> are again enrolled in the </w:t>
            </w:r>
            <w:r w:rsidR="00C5694B">
              <w:rPr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 xml:space="preserve">next term.  </w:t>
            </w:r>
            <w:r w:rsidR="00254271" w:rsidRPr="000A16D3">
              <w:rPr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 xml:space="preserve">Fall cohort is first time students in fall and also includes students enrolled in the fall term who enrolled as First Time in the prior summer term. </w:t>
            </w:r>
            <w:r w:rsidR="00C5694B">
              <w:rPr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54271" w:rsidRPr="000A16D3">
              <w:rPr>
                <w:b w:val="0"/>
                <w:i/>
                <w:color w:val="000000"/>
                <w:sz w:val="20"/>
                <w:szCs w:val="20"/>
                <w:shd w:val="clear" w:color="auto" w:fill="FFFFFF"/>
              </w:rPr>
              <w:t>Spring cohort is first time students full time students enrolled Spring.</w:t>
            </w:r>
          </w:p>
        </w:tc>
        <w:tc>
          <w:tcPr>
            <w:tcW w:w="2880" w:type="dxa"/>
            <w:noWrap/>
            <w:hideMark/>
          </w:tcPr>
          <w:p w:rsidR="00FC747B" w:rsidRPr="00FC747B" w:rsidRDefault="00FC747B" w:rsidP="00FC747B">
            <w:pPr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 w:rsidRPr="00FC747B">
              <w:rPr>
                <w:rFonts w:ascii="Calibri" w:eastAsia="Times New Roman" w:hAnsi="Calibri" w:cs="Times New Roman"/>
                <w:color w:val="000000"/>
              </w:rPr>
              <w:t>Spring 2015 to Fall 2015</w:t>
            </w:r>
          </w:p>
        </w:tc>
        <w:tc>
          <w:tcPr>
            <w:tcW w:w="1800" w:type="dxa"/>
            <w:noWrap/>
            <w:hideMark/>
          </w:tcPr>
          <w:p w:rsidR="00FC747B" w:rsidRPr="00FC747B" w:rsidRDefault="00FC747B" w:rsidP="00FC747B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 w:rsidRPr="00FC747B">
              <w:rPr>
                <w:rFonts w:ascii="Calibri" w:eastAsia="Times New Roman" w:hAnsi="Calibri" w:cs="Times New Roman"/>
                <w:color w:val="000000"/>
              </w:rPr>
              <w:t>58%</w:t>
            </w:r>
          </w:p>
        </w:tc>
      </w:tr>
      <w:tr w:rsidR="00FC747B" w:rsidRPr="00FC747B" w:rsidTr="00C652BB">
        <w:trPr>
          <w:cnfStyle w:val="000000100000"/>
          <w:trHeight w:val="898"/>
        </w:trPr>
        <w:tc>
          <w:tcPr>
            <w:cnfStyle w:val="001000000000"/>
            <w:tcW w:w="5598" w:type="dxa"/>
            <w:vMerge/>
            <w:hideMark/>
          </w:tcPr>
          <w:p w:rsidR="00FC747B" w:rsidRPr="00FC747B" w:rsidRDefault="00FC747B" w:rsidP="00FC747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noWrap/>
            <w:hideMark/>
          </w:tcPr>
          <w:p w:rsidR="00FC747B" w:rsidRPr="00FC747B" w:rsidRDefault="00FC747B" w:rsidP="00FC747B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FC747B">
              <w:rPr>
                <w:rFonts w:ascii="Calibri" w:eastAsia="Times New Roman" w:hAnsi="Calibri" w:cs="Times New Roman"/>
                <w:color w:val="000000"/>
              </w:rPr>
              <w:t>Fall 2015 to Spring 2016</w:t>
            </w:r>
          </w:p>
        </w:tc>
        <w:tc>
          <w:tcPr>
            <w:tcW w:w="1800" w:type="dxa"/>
            <w:noWrap/>
            <w:hideMark/>
          </w:tcPr>
          <w:p w:rsidR="00FC747B" w:rsidRPr="00FC747B" w:rsidRDefault="00FC747B" w:rsidP="00FC747B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FC747B">
              <w:rPr>
                <w:rFonts w:ascii="Calibri" w:eastAsia="Times New Roman" w:hAnsi="Calibri" w:cs="Times New Roman"/>
                <w:color w:val="000000"/>
              </w:rPr>
              <w:t>73%</w:t>
            </w:r>
          </w:p>
        </w:tc>
      </w:tr>
      <w:tr w:rsidR="00FC747B" w:rsidRPr="00FC747B" w:rsidTr="00C652BB">
        <w:trPr>
          <w:cnfStyle w:val="000000010000"/>
          <w:trHeight w:val="807"/>
        </w:trPr>
        <w:tc>
          <w:tcPr>
            <w:cnfStyle w:val="001000000000"/>
            <w:tcW w:w="5598" w:type="dxa"/>
            <w:vMerge/>
            <w:hideMark/>
          </w:tcPr>
          <w:p w:rsidR="00FC747B" w:rsidRPr="00FC747B" w:rsidRDefault="00FC747B" w:rsidP="00FC747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noWrap/>
            <w:hideMark/>
          </w:tcPr>
          <w:p w:rsidR="00FC747B" w:rsidRPr="00FC747B" w:rsidRDefault="00FC747B" w:rsidP="00FC747B">
            <w:pPr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 w:rsidRPr="00FC747B">
              <w:rPr>
                <w:rFonts w:ascii="Calibri" w:eastAsia="Times New Roman" w:hAnsi="Calibri" w:cs="Times New Roman"/>
                <w:color w:val="000000"/>
              </w:rPr>
              <w:t>Fall 2015 to Fall 2016</w:t>
            </w:r>
          </w:p>
        </w:tc>
        <w:tc>
          <w:tcPr>
            <w:tcW w:w="1800" w:type="dxa"/>
            <w:noWrap/>
            <w:hideMark/>
          </w:tcPr>
          <w:p w:rsidR="00FC747B" w:rsidRPr="00FC747B" w:rsidRDefault="00FC747B" w:rsidP="00FC747B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 w:rsidRPr="00FC747B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FC747B" w:rsidRPr="00FC747B" w:rsidTr="00C652BB">
        <w:trPr>
          <w:cnfStyle w:val="000000100000"/>
          <w:trHeight w:val="907"/>
        </w:trPr>
        <w:tc>
          <w:tcPr>
            <w:cnfStyle w:val="001000000000"/>
            <w:tcW w:w="5598" w:type="dxa"/>
            <w:vMerge/>
            <w:hideMark/>
          </w:tcPr>
          <w:p w:rsidR="00FC747B" w:rsidRPr="00FC747B" w:rsidRDefault="00FC747B" w:rsidP="00FC747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noWrap/>
            <w:hideMark/>
          </w:tcPr>
          <w:p w:rsidR="00FC747B" w:rsidRPr="00FC747B" w:rsidRDefault="00FC747B" w:rsidP="00FC747B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FC747B">
              <w:rPr>
                <w:rFonts w:ascii="Calibri" w:eastAsia="Times New Roman" w:hAnsi="Calibri" w:cs="Times New Roman"/>
                <w:color w:val="000000"/>
              </w:rPr>
              <w:t>Spring 2016 to Spring 2017</w:t>
            </w:r>
          </w:p>
        </w:tc>
        <w:tc>
          <w:tcPr>
            <w:tcW w:w="1800" w:type="dxa"/>
            <w:noWrap/>
            <w:hideMark/>
          </w:tcPr>
          <w:p w:rsidR="00FC747B" w:rsidRPr="00FC747B" w:rsidRDefault="00FC747B" w:rsidP="00FC747B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FC747B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FC747B" w:rsidRPr="00FC747B" w:rsidTr="00C652BB">
        <w:trPr>
          <w:cnfStyle w:val="000000010000"/>
          <w:trHeight w:val="1332"/>
        </w:trPr>
        <w:tc>
          <w:tcPr>
            <w:cnfStyle w:val="001000000000"/>
            <w:tcW w:w="5598" w:type="dxa"/>
            <w:hideMark/>
          </w:tcPr>
          <w:p w:rsidR="00FC747B" w:rsidRPr="000A16D3" w:rsidRDefault="00FC747B" w:rsidP="00FC747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C74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ISSA 6. At least 55% of registered students will complete enrolled developmental courses in any given semester.</w:t>
            </w:r>
          </w:p>
          <w:p w:rsidR="008E532F" w:rsidRDefault="008E532F" w:rsidP="00FC747B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  <w:p w:rsidR="008E532F" w:rsidRPr="000A16D3" w:rsidRDefault="008E532F" w:rsidP="00FC747B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0A16D3">
              <w:rPr>
                <w:rFonts w:ascii="Calibri" w:eastAsia="Times New Roman" w:hAnsi="Calibri" w:cs="Times New Roman"/>
                <w:b w:val="0"/>
                <w:i/>
                <w:color w:val="000000"/>
                <w:sz w:val="20"/>
                <w:szCs w:val="20"/>
              </w:rPr>
              <w:t>PCC’s Developmental Course Completion Rate is the p</w:t>
            </w:r>
            <w:r w:rsidRPr="000A16D3">
              <w:rPr>
                <w:b w:val="0"/>
                <w:i/>
                <w:sz w:val="20"/>
                <w:szCs w:val="20"/>
              </w:rPr>
              <w:t>ercentage of students who receive credits (CR) or successfully completed the course.</w:t>
            </w:r>
          </w:p>
          <w:p w:rsidR="008E532F" w:rsidRPr="00FC747B" w:rsidRDefault="008E532F" w:rsidP="00FC747B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2880" w:type="dxa"/>
            <w:noWrap/>
            <w:hideMark/>
          </w:tcPr>
          <w:p w:rsidR="00FC747B" w:rsidRPr="00FC747B" w:rsidRDefault="00FC747B" w:rsidP="00FC747B">
            <w:pPr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 w:rsidRPr="00FC747B">
              <w:rPr>
                <w:rFonts w:ascii="Calibri" w:eastAsia="Times New Roman" w:hAnsi="Calibri" w:cs="Times New Roman"/>
                <w:color w:val="000000"/>
              </w:rPr>
              <w:t>Fall 2015</w:t>
            </w:r>
          </w:p>
        </w:tc>
        <w:tc>
          <w:tcPr>
            <w:tcW w:w="1800" w:type="dxa"/>
            <w:noWrap/>
            <w:hideMark/>
          </w:tcPr>
          <w:p w:rsidR="00FC747B" w:rsidRPr="00FC747B" w:rsidRDefault="00FC747B" w:rsidP="00FC747B">
            <w:pPr>
              <w:jc w:val="center"/>
              <w:cnfStyle w:val="000000010000"/>
              <w:rPr>
                <w:rFonts w:ascii="Calibri" w:eastAsia="Times New Roman" w:hAnsi="Calibri" w:cs="Times New Roman"/>
                <w:color w:val="000000"/>
              </w:rPr>
            </w:pPr>
            <w:r w:rsidRPr="00FC747B">
              <w:rPr>
                <w:rFonts w:ascii="Calibri" w:eastAsia="Times New Roman" w:hAnsi="Calibri" w:cs="Times New Roman"/>
                <w:color w:val="000000"/>
              </w:rPr>
              <w:t>69%</w:t>
            </w:r>
          </w:p>
        </w:tc>
      </w:tr>
      <w:tr w:rsidR="00FC747B" w:rsidRPr="00FC747B" w:rsidTr="00C652BB">
        <w:trPr>
          <w:cnfStyle w:val="000000100000"/>
          <w:trHeight w:val="1332"/>
        </w:trPr>
        <w:tc>
          <w:tcPr>
            <w:cnfStyle w:val="001000000000"/>
            <w:tcW w:w="5598" w:type="dxa"/>
            <w:hideMark/>
          </w:tcPr>
          <w:p w:rsidR="00FC747B" w:rsidRPr="000A16D3" w:rsidRDefault="00FC747B" w:rsidP="00FC747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C747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ISSA 7. At least 70% of registered students will complete enrolled general education courses in any given semester.</w:t>
            </w:r>
          </w:p>
          <w:p w:rsidR="008E532F" w:rsidRDefault="008E532F" w:rsidP="00FC747B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  <w:p w:rsidR="008E532F" w:rsidRPr="00FC747B" w:rsidRDefault="008E532F" w:rsidP="00FC747B">
            <w:pPr>
              <w:rPr>
                <w:rFonts w:ascii="Calibri" w:eastAsia="Times New Roman" w:hAnsi="Calibri" w:cs="Times New Roman"/>
                <w:b w:val="0"/>
                <w:color w:val="000000"/>
                <w:sz w:val="20"/>
                <w:szCs w:val="20"/>
              </w:rPr>
            </w:pPr>
            <w:r w:rsidRPr="000A16D3">
              <w:rPr>
                <w:rFonts w:ascii="Calibri" w:eastAsia="Times New Roman" w:hAnsi="Calibri" w:cs="Times New Roman"/>
                <w:b w:val="0"/>
                <w:i/>
                <w:color w:val="000000"/>
                <w:sz w:val="20"/>
                <w:szCs w:val="20"/>
              </w:rPr>
              <w:t>PCC’s General Education Course Completion Rate is the p</w:t>
            </w:r>
            <w:r w:rsidRPr="000A16D3">
              <w:rPr>
                <w:b w:val="0"/>
                <w:i/>
                <w:sz w:val="20"/>
                <w:szCs w:val="20"/>
              </w:rPr>
              <w:t xml:space="preserve">ercentage of students who </w:t>
            </w:r>
            <w:r w:rsidR="000A16D3" w:rsidRPr="000A16D3">
              <w:rPr>
                <w:b w:val="0"/>
                <w:i/>
                <w:sz w:val="20"/>
                <w:szCs w:val="20"/>
              </w:rPr>
              <w:t>receive a passing/satisfactory grade (A</w:t>
            </w:r>
            <w:r w:rsidR="00C5694B" w:rsidRPr="000A16D3">
              <w:rPr>
                <w:b w:val="0"/>
                <w:i/>
                <w:sz w:val="20"/>
                <w:szCs w:val="20"/>
              </w:rPr>
              <w:t>, B, C, D, and CR</w:t>
            </w:r>
            <w:r w:rsidR="000A16D3" w:rsidRPr="000A16D3">
              <w:rPr>
                <w:b w:val="0"/>
                <w:i/>
                <w:sz w:val="20"/>
                <w:szCs w:val="20"/>
              </w:rPr>
              <w:t>)</w:t>
            </w:r>
            <w:r w:rsidR="000A16D3" w:rsidRPr="000A16D3">
              <w:rPr>
                <w:rFonts w:ascii="Calibri" w:eastAsia="Times New Roman" w:hAnsi="Calibri" w:cs="Times New Roman"/>
                <w:b w:val="0"/>
                <w:i/>
                <w:color w:val="000000"/>
                <w:sz w:val="20"/>
                <w:szCs w:val="20"/>
              </w:rPr>
              <w:t xml:space="preserve"> or successfully completed the course.</w:t>
            </w:r>
          </w:p>
        </w:tc>
        <w:tc>
          <w:tcPr>
            <w:tcW w:w="2880" w:type="dxa"/>
            <w:noWrap/>
            <w:hideMark/>
          </w:tcPr>
          <w:p w:rsidR="00FC747B" w:rsidRPr="00FC747B" w:rsidRDefault="00FC747B" w:rsidP="00FC747B">
            <w:pPr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FC747B">
              <w:rPr>
                <w:rFonts w:ascii="Calibri" w:eastAsia="Times New Roman" w:hAnsi="Calibri" w:cs="Times New Roman"/>
                <w:color w:val="000000"/>
              </w:rPr>
              <w:t>Fall 2015</w:t>
            </w:r>
          </w:p>
        </w:tc>
        <w:tc>
          <w:tcPr>
            <w:tcW w:w="1800" w:type="dxa"/>
            <w:noWrap/>
            <w:hideMark/>
          </w:tcPr>
          <w:p w:rsidR="00FC747B" w:rsidRPr="00FC747B" w:rsidRDefault="00FC747B" w:rsidP="00FC747B">
            <w:pPr>
              <w:jc w:val="center"/>
              <w:cnfStyle w:val="000000100000"/>
              <w:rPr>
                <w:rFonts w:ascii="Calibri" w:eastAsia="Times New Roman" w:hAnsi="Calibri" w:cs="Times New Roman"/>
                <w:color w:val="000000"/>
              </w:rPr>
            </w:pPr>
            <w:r w:rsidRPr="00FC747B">
              <w:rPr>
                <w:rFonts w:ascii="Calibri" w:eastAsia="Times New Roman" w:hAnsi="Calibri" w:cs="Times New Roman"/>
                <w:color w:val="000000"/>
              </w:rPr>
              <w:t>72%</w:t>
            </w:r>
          </w:p>
        </w:tc>
      </w:tr>
    </w:tbl>
    <w:p w:rsidR="00317CCC" w:rsidRDefault="00317CCC" w:rsidP="00317CCC">
      <w:pPr>
        <w:jc w:val="right"/>
        <w:rPr>
          <w:sz w:val="24"/>
          <w:szCs w:val="24"/>
        </w:rPr>
      </w:pPr>
    </w:p>
    <w:p w:rsidR="00C652BB" w:rsidRPr="0039024F" w:rsidRDefault="00C652BB" w:rsidP="00C652BB">
      <w:pPr>
        <w:pStyle w:val="Footer"/>
        <w:tabs>
          <w:tab w:val="left" w:pos="6120"/>
          <w:tab w:val="right" w:pos="10224"/>
        </w:tabs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Pr="0039024F">
        <w:rPr>
          <w:rFonts w:ascii="Times New Roman" w:hAnsi="Times New Roman" w:cs="Times New Roman"/>
          <w:b/>
          <w:sz w:val="16"/>
          <w:szCs w:val="16"/>
        </w:rPr>
        <w:t>Institutional Research &amp; Evaluation Office</w:t>
      </w:r>
    </w:p>
    <w:p w:rsidR="00C652BB" w:rsidRPr="009E6BF1" w:rsidRDefault="00C652BB" w:rsidP="00317CCC">
      <w:pPr>
        <w:jc w:val="right"/>
        <w:rPr>
          <w:sz w:val="24"/>
          <w:szCs w:val="24"/>
        </w:rPr>
      </w:pPr>
    </w:p>
    <w:sectPr w:rsidR="00C652BB" w:rsidRPr="009E6BF1" w:rsidSect="00C652B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CE5" w:rsidRDefault="00850CE5" w:rsidP="00C5694B">
      <w:pPr>
        <w:spacing w:after="0" w:line="240" w:lineRule="auto"/>
      </w:pPr>
      <w:r>
        <w:separator/>
      </w:r>
    </w:p>
  </w:endnote>
  <w:endnote w:type="continuationSeparator" w:id="0">
    <w:p w:rsidR="00850CE5" w:rsidRDefault="00850CE5" w:rsidP="00C5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CE5" w:rsidRDefault="00850CE5" w:rsidP="00C5694B">
      <w:pPr>
        <w:spacing w:after="0" w:line="240" w:lineRule="auto"/>
      </w:pPr>
      <w:r>
        <w:separator/>
      </w:r>
    </w:p>
  </w:footnote>
  <w:footnote w:type="continuationSeparator" w:id="0">
    <w:p w:rsidR="00850CE5" w:rsidRDefault="00850CE5" w:rsidP="00C56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BF1"/>
    <w:rsid w:val="000A16D3"/>
    <w:rsid w:val="00147AAA"/>
    <w:rsid w:val="00254271"/>
    <w:rsid w:val="00317CCC"/>
    <w:rsid w:val="00364F5E"/>
    <w:rsid w:val="0039024F"/>
    <w:rsid w:val="00405DB6"/>
    <w:rsid w:val="00451DF4"/>
    <w:rsid w:val="005F5180"/>
    <w:rsid w:val="007B51DD"/>
    <w:rsid w:val="008067E1"/>
    <w:rsid w:val="00850CE5"/>
    <w:rsid w:val="008E532F"/>
    <w:rsid w:val="0096087E"/>
    <w:rsid w:val="009E6BF1"/>
    <w:rsid w:val="00C5694B"/>
    <w:rsid w:val="00C652BB"/>
    <w:rsid w:val="00E7789F"/>
    <w:rsid w:val="00F76BB1"/>
    <w:rsid w:val="00FC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4271"/>
  </w:style>
  <w:style w:type="character" w:styleId="Hyperlink">
    <w:name w:val="Hyperlink"/>
    <w:basedOn w:val="DefaultParagraphFont"/>
    <w:uiPriority w:val="99"/>
    <w:semiHidden/>
    <w:unhideWhenUsed/>
    <w:rsid w:val="00254271"/>
    <w:rPr>
      <w:color w:val="0000FF"/>
      <w:u w:val="single"/>
    </w:rPr>
  </w:style>
  <w:style w:type="table" w:styleId="LightGrid-Accent3">
    <w:name w:val="Light Grid Accent 3"/>
    <w:basedOn w:val="TableNormal"/>
    <w:uiPriority w:val="62"/>
    <w:rsid w:val="000A1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C56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94B"/>
  </w:style>
  <w:style w:type="paragraph" w:styleId="Footer">
    <w:name w:val="footer"/>
    <w:basedOn w:val="Normal"/>
    <w:link w:val="FooterChar"/>
    <w:uiPriority w:val="99"/>
    <w:semiHidden/>
    <w:unhideWhenUsed/>
    <w:rsid w:val="00C56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Deikola-ALO</cp:lastModifiedBy>
  <cp:revision>10</cp:revision>
  <cp:lastPrinted>2016-04-29T05:24:00Z</cp:lastPrinted>
  <dcterms:created xsi:type="dcterms:W3CDTF">2016-04-29T04:46:00Z</dcterms:created>
  <dcterms:modified xsi:type="dcterms:W3CDTF">2016-04-29T05:28:00Z</dcterms:modified>
</cp:coreProperties>
</file>